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2021年度江苏传媒学校单位决算公开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传媒学校（原江苏广播电视学校）是由江苏省广播电视总台主办、全省唯一一所专门培养广播影视中、高等技术技能人才的省属公办全日制普通中等专业学校，江苏联合职业技术学院首批五年制高职办学点，全额拨款事业单位。学校以五年制高等职业教育、三年制中等职业教育为主体。学校现开设的五年制高职专业有：播音与主持、广播影视节目制作、摄影摄像技术、影视动画、表演艺术，三年制中职专业有：广播影视节目制作，面向全省招收初中毕业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6个内设部门：综合部（含党务办公室）、教学工作部、学生工作部、招生就业与对外合作部、后勤管理部、成人教育与培训部。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2021年是中国共产党成立100周年，是实施“十四五”规划、开启全面建设社会主义现代化国家新征程的第一年。我校以习近平新时代中国特色社会主义思想为指导，深入学习贯彻党的十九大及十九届历次全会精神，在总台党委的有力领导下，在江苏联合职业技术学院和南京市教育局的指导下，始终以立德树人为根本任务，深入开展党史学习教育活动，统筹抓好疫情防控和教育教学工作，坚持稳中求进的工作总基调，努力提升办学质量，圆满完成了总台下达的各项任务指标，招生人数创历史新高，专业建设有了新进展，专转本取得历史最好成绩，实现了“十四五”良好开局。重点工作完成情况如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学校高度重视党史学习教育，将其作为一项重大的政治任务来抓，及时召开专题会议学习传达上级会议精神，强化组织领导，周密安排部署，细化工作举措，成立了领导小组，制定了实施方案，召开了动员大会。我校的党史学习教育活动贯穿2021年全年，以党员为重点，面向全校师生，突出学党史、悟思想、办实事、开新局，注重融入日常、抓在经常，将党史学习教育与学习新中国史、改革开放史、社会主义发展史相结合，与学习习总书记“七一”重要讲话、十九届六中全会精神、省第十四次党代会精神相结合，与为师生办实事、解决学校实际问题相结合，与谋划学校十四五发展规划相结合，努力做到学史明理、学史增信、学史崇德、学史力行。聚焦理论学习，筑牢党性根基。开展系列活动，传承红色基因。服务师生，解决实际问题。一是通过开展党史学习教育活动，为师生办了一批实事，二是通过开展党史学习教育活动，加强党的基层建设，服务学校的发展改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2、落实责任，细化措施，毫不松懈地抓好疫情防控工作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今年年初，学校根据教育部文件精神及学校疫情防控领导小组、工作组人员调整的变化，重新修订了2021年春季疫情防控工作方案和制度，用制度落实常态化疫情防控的责任和各项措施，用制度为常态化疫情防控工作提供保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暑假期间，南京禄口机场爆发疫情，并在南京、扬州两地蔓延。学校迅速反应，对校园进行封闭管理，根据总台、联院、市区教育局等部门的要求，进行每日的健康码信息汇报、核算检测情况统计、师生员工途径地信息汇总等工作，及时掌握和上报全校师生员工健康情况、活动动向、旅住史、与重点疫情地区人员接触史等信息。与此同时，再次修订学校疫情防控工作方案和制度，制订错时开学工作方案，进行疫情防控应急预案演练，盘点、补充防疫物资，接受市、区疫情防控工作检查验收，并于9月中旬顺利实现秋季开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下半年，疫情波及多省，为做到精准防控，学校根据总台要求，严格执行防疫措施：学校还根据总台和教育部门的安排，组织师生员工接种新冠疫苗，常态化地开展核酸检测工作,每周安排不低于5%的师生员工进行抽检，下半年对所有师生员工进行了一轮检测，对门卫、食堂工作人员等重点人群每2周进行了1次检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3、聚焦常规，规范管理，深抓严抓教学工作和专业建设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开展专项督导，狠抓教学规范。组织教师培训，提升教师能力。一方面，把专家们请进来，学校邀请南京市职教教研室孔晓华副主任来校作题为“职教教研：面向新时代的变革”专题讲座，邀请联院金友鹏研究员来校作“如何制定人才培养方案”专题讲座，邀请省德工委副秘书长李国珑来校作“如何开展文明风采竞赛活动”专题讲座；另一方面，让教师走出去，组织教师参加省市级各类培训19人次，选派3位班主任参加了南京市职业学校班主任能力培训班，组织全校班主任参加了联院班主任能力提升培训班线上培训。同时进一步推进实施“青蓝工程”师徒结对制度，给近两年进校的轻年教师配备校内和行业指导老师，加强教师教学基本功和专业素养的培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重视思政教育，开足开齐课程。上好思政课，是培养社会主义建设者的重要保障。今年，学校严格按照教育部门的要求，开足开齐思政课程。关注培养质量，推进专业建设。一是在市场调研、专家指导的基础上，对2021级各专业人才培养方案进行了修订；二是推进实施了专业负责人制度，在组织全校报名申请的基础上，确定了学校四个专业的专业负责人（准专业负责人），为推进专业建设奠定了基础、充实了力量；三是接受联院五年制高职专业人才培养方案执行情况及专业点达标情况现场视导，对标找差，明确方向，推进专业点达标工作；四是通过提升名师工作室的带动效应，促进学校的专业建设。名师工作室学生原创动画片《小米粒历险记》获第十四届山东青年微电影大赛银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强化实践实训，提升专业技能。学校各专业在开齐开足综合实训课的基础上，还充分利用文明风采大赛、金秋艺术节、技能节、校企合作等平台，强化实践实训，为学生展示专业特长、提升专业技能提供更多的机会。今年的“红动江传”技能节，学生们用声音、镜头、画笔或才艺讲述红色故事、展示新中国成就、表达爱党爱国爱人民情怀，活动共收到7个类别17个项目的664件作品，经筛选将入围的111件作品通过多种方式进行展示。学校还组织师生承担联院的专题片制作和活动拍摄任务，组织学生参加联院开展的“我心向党”中华经典诵读比赛、“每个一都出彩”征稿活动和南京市组织的“我们一起学党史”“写给2035的我”微视频比赛等，锻炼学生技能，增强提学生自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统一思想，创新思路，精心做好招生宣传和实习就业工作。强化责任，用心服务，热情做好各类保障工作。经过大家共同努力，今年共招收新生274名，其中高职生239名，中职生35名，比去年增长22%，报到率100%，创历史新高。</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江苏传媒学校</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江苏传媒学校</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1,711.10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280.00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1,555.53</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46.64</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178.87</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491.42</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2,037.74</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2,225.83</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436.66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248.58</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2,474.40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2,474.40</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2,037.74</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1,711.10</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280.00</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46.64</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1,367.44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1,367.44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1,367.44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1,367.44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中等职业教育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高等职业教育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1,231.44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1,231.44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178.87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146.49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104.37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事业单位离退休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抚恤</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死亡抚恤</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237.88</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46.64</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491.43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237.88</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46.64</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131.48</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359.95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106.40</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46.64</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2,225.83</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2,074.82</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151.00</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1,555.53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1,404.53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1,555.53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1,404.53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中等职业教育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161.56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10.56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151.00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高等职业教育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1,393.97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1,393.97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178.87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178.87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146.49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146.49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事业单位离退休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14.80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14.80</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89.57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89.57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42.12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42.12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抚恤</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32.38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32.38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死亡抚恤</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32.38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32.38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491.43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491.43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491.43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491.43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359.95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359.95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江苏传媒学校</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1,711.10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1,555.53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1,555.53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1,711.10</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1,899.19</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1,899.19</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436.66</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248.58</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248.58</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436.66</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2,147.76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2,147.76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2,147.76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1,899.19</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1,748.18</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1,404.53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1,555.53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1,404.53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161.56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高等职业教育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1,393.97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1,393.97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136.75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事业单位离退休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89.57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89.57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抚恤</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死亡抚恤</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206.90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江苏传媒学校</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1,748.18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1,458.85</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383.46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235.87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102.63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1,899.19</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1,748.18</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1,404.53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1,555.53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1,404.53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161.56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高等职业教育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1,393.97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1,393.97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104.37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104.37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事业单位离退休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死亡抚恤</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1,748.18</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1,458.85</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383.46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235.87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235.87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289.33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10.56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102.63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120.18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1.56</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1.26</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0.87</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1.56</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1.26</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0.87</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28</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无一般公共预算机关运行经费支出决算，故本表为空。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江苏传媒学校</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2021年度收入、支出决算总计2,474.4万元。与上年相比，收、支总计各减少123.42万元，减少4.75%。其中：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（一）收入决算总计2,474.4万元。包括：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1.本年收入决算合计2,037.74万元。与上年相比，增加0.69万元，增长0.03%，变动原因：年度间基本持平，学校是生均拨款单位，在校生总人数基本变动，造成拨款有所增加。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3.年初结转和结余436.66万元。与上年相比，减少124.11万元，减少22.13%，变动原因：由于这几年学校日常教学工作的经费支出，无法用当年拨款涵盖，动用以前年度结余弥补。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（二）支出决算总计2,474.4万元。包括：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2,225.83万元。与上年相比，增加64.67万元，增长2.99%，变动原因：这几年，国家要求大力发展职业教育，学生招生向好，在校生人数在增加，随之而来的是对教学管理要求提高，师资要求提高，学校的成本也在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3.年末结转和结余248.58万元。结转和结余事项：此项是以前年度结转和结余。与上年相比，减少188.08万元，减少43.07%，变动原因：由于学校管理成本、教学成本提交，当年生均拨款不足，动用以前年度结余弥补。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2,037.74万元，其中：财政拨款收入1,711.1万元，占83.97%；上级补助收入0万元，占0%；财政专户管理教育收费280万元，占13.74%；事业收入（不含专户管理教育收费）0万元，占0%；经营收入0万元，占0%；附属单位上缴收入0万元，占0%；其他收入46.64万元，占2.29%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2021年度本年支出决算合计2,225.83万元，其中：基本支出2,074.82万元，占93.22%；项目支出151万元，占6.78%；上缴上级支出0万元，占0%；经营支出0万元，占0%；对附属单位补助支出0万元，占0%。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2,147.76万元。与上年相比，收、支总计各增加478.01万元，增长28.63%，变动原因：学校是生均拨款单位，随着国家发展职业教育政策落地，这两年招生工作形势较好，在校生人数逐年增加，学校收入、支出亦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2021年度财政拨款支出决算1,899.19万元，占本年支出合计的85.33%。与2021年度财政拨款支出年初预算1,700.3万元相比，完成年初预算的111.7%。其中：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职业教育（款）中等职业教育（项）。年初预算130.4万元，支出决算161.56万元，完成年初预算的123.9%。决算数与年初预算数的差异原因：我校中专专业按照教育主管部门的办学要求，有很多不足，按照统一要求，我们这部分加大了投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2.职业教育（款）高等职业教育（项）。年初预算1,337.01万元，支出决算1,393.97万元，完成年初预算的104.26%。决算数与年初预算数的差异原因：学校在校生增加，学校的教学投入增加很多。</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事业单位离退休（项）。年初预算24.6万元，支出决算14.8万元，完成年初预算的60.16%。决算数与年初预算数的差异原因：离休干部一名，于2021年6月去世，发放的抚恤金24.6万元，列入抚恤金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年初预算96.2万元，支出决算89.57万元，完成年初预算的93.11%。决算数与年初预算数的差异原因：一名退休人员去世，抚恤金列入抚恤金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3.抚恤（款）死亡抚恤（项）。年初预算0万元，支出决算32.38万元，（年初预算数为0万元，无法计算完成比率）。决算数与年初预算数的差异原因：年度中有一名离休干部和一名退休教师去世。</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住房改革支出（款）提租补贴（项）。年初预算112.08万元，支出决算206.9万元，完成年初预算的184.6%。决算数与年初预算数的差异原因：政策性原因造成。</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2021年度财政拨款基本支出决算1,748.18万元，其中：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（一）人员经费1,458.85万元。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主要包括：基本工资、津贴补贴、奖金、伙食补助费、绩效工资、机关事业单位基本养老保险缴费、职工基本医疗保险缴费、其他社会保障缴费、医疗费、其他工资福利支出、离休费、退休费、抚恤金、助学金。</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（二）公用经费289.33万元。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手续费、水费、电费、邮电费、差旅费、维修（护）费、租赁费、公务接待费、专用材料费、劳务费、委托业务费、福利费、公务用车运行维护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1,899.19万元。与上年相比，增加270.04万元，增长16.58%，变动原因：主要的原因随着学校教学规模加大，学校的人员经费、办公经费、专用教学材料消耗、水电费消耗都有所加大。</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2021年度一般公共预算财政拨款基本支出决算1,748.18万元，其中：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（一）人员经费1,458.85万元。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主要包括：基本工资、津贴补贴、奖金、伙食补助费、绩效工资、机关事业单位基本养老保险缴费、职工基本医疗保险缴费、其他社会保障缴费、医疗费、其他工资福利支出、离休费、退休费、抚恤金、助学金。</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（二）公用经费289.33万元。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手续费、水费、电费、邮电费、差旅费、维修（护）费、租赁费、公务接待费、专用材料费、劳务费、委托业务费、福利费、公务用车运行维护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1.56万元。与上年相比，增加0.8万元，变动原因：学校上年的三公经费中，招待费为0，今年学校有相关的公务接待，支出1.26万元，在预算范围内。其中，因公出国（境）费支出0万元，占“三公”经费的0%；公务用车购置及运行维护费支出0.3万元，占“三公”经费的19.23%；公务接待费支出1.26万元，占“三公”经费的80.77%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2．公务用车购置及运行维护费支出预算0.3万元，支出决算0.3万元，完成预算的100%，决算数与预算数相同。其中：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0.3万元。公务用车运行维护费主要用于按规定保留的公务用车的燃料费、维修费、过桥过路费、保险费、安全奖励费用等支出。截至2021年12月31日，使用一般公共预算财政拨款开支的公务用车保有量为1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1.26万元，支出决算1.26万元，完成预算的100%，决算数与预算数相同。其中：国内公务接待支出1.26万元，接待4批次，28人次，开支内容：主要是教育主管部门对基本教学工作达标验收情况的摸底调研工作；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2021年度一般公共预算财政拨款会议费支出预算0万元，支出决算0万元，完成预算的100%，决算数与预算数相同。2021年度全年召开会议0个，参加会议0人次。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0.87万元，支出决算0.87万元，完成预算的100%，决算数与预算数相同。2021年度全年组织培训1个，组织培训10人次，开支内容：主要是组织相关教师参与各级教学教研培训工作。</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6.94万元，其中：政府采购货物支出6.94万元、政府采购工程支出0万元、政府采购服务支出0万元。政府采购授予中小企业合同金额0万元，占政府采购支出总额的0%，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单位共有车辆1辆，其中：副部(省)级及以上领导用车0辆、主要领导干部用车0辆、机要通信用车0辆、应急保障用车0辆、执法执勤用车0辆、特种专业技术用车0辆、离退休干部用车0辆、其他用车1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本单位共对上年度已实施完成的3个项目开展了绩效自评价，涉及财政性资金合计113.4万元；本单位共开展1项单位整体支出绩效自评价，涉及财政性资金合计2,474.4万元。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十九、教育支出(类)职业教育(款)中等职业教育(项)</w:t>
      </w:r>
      <w:r>
        <w:rPr>
          <w:rFonts w:ascii="仿宋" w:hAnsi="仿宋" w:cs="仿宋" w:eastAsia="仿宋"/>
          <w:b w:val="true"/>
        </w:rPr>
        <w:t>：</w:t>
      </w:r>
      <w:r>
        <w:rPr>
          <w:rFonts w:hint="eastAsia" w:ascii="仿宋" w:hAnsi="仿宋" w:eastAsia="仿宋" w:cs="仿宋"/>
        </w:rPr>
        <w:t>反映各部门（不含人力资源社会保障部门）举办的中等职业学校支出。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二十、教育支出(类)职业教育(款)高等职业教育(项)</w:t>
      </w:r>
      <w:r>
        <w:rPr>
          <w:rFonts w:ascii="仿宋" w:hAnsi="仿宋" w:cs="仿宋" w:eastAsia="仿宋"/>
          <w:b w:val="true"/>
        </w:rPr>
        <w:t>：</w:t>
      </w:r>
      <w:r>
        <w:rPr>
          <w:rFonts w:hint="eastAsia" w:ascii="仿宋" w:hAnsi="仿宋" w:eastAsia="仿宋" w:cs="仿宋"/>
        </w:rPr>
        <w:t>反映经国家批准设立的高等职业大学、专科职业教育等方面的支出。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二十四、社会保障和就业支出(类)抚恤(款)死亡抚恤(项)</w:t>
      </w:r>
      <w:r>
        <w:rPr>
          <w:rFonts w:ascii="仿宋" w:hAnsi="仿宋" w:cs="仿宋" w:eastAsia="仿宋"/>
          <w:b w:val="true"/>
        </w:rPr>
        <w:t>：</w:t>
      </w:r>
      <w:r>
        <w:rPr>
          <w:rFonts w:hint="eastAsia" w:ascii="仿宋" w:hAnsi="仿宋" w:eastAsia="仿宋" w:cs="仿宋"/>
        </w:rPr>
        <w:t>反映按规定用于烈士和牺牲、病故人员家属的一次性和定期抚恤金以及丧葬补助费。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江苏传媒学校</w:t>
    </w:r>
    <w:r>
      <w:t>2021年度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